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843"/>
      </w:tblGrid>
      <w:tr w:rsidR="003D5B97" w:rsidRPr="00B20895" w:rsidTr="000E4567">
        <w:tc>
          <w:tcPr>
            <w:tcW w:w="851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D5B97" w:rsidRPr="00B20895" w:rsidRDefault="003D5B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74C" w:rsidRPr="00B20895" w:rsidRDefault="000E4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0895">
              <w:rPr>
                <w:rFonts w:ascii="Arial" w:hAnsi="Arial" w:cs="Arial"/>
                <w:b/>
                <w:sz w:val="24"/>
                <w:szCs w:val="24"/>
              </w:rPr>
              <w:t>All is fair in love and war                    Jan van Tonder</w:t>
            </w:r>
          </w:p>
          <w:p w:rsidR="0081374C" w:rsidRPr="00B20895" w:rsidRDefault="00813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B97" w:rsidRPr="00B20895" w:rsidRDefault="003D5B97" w:rsidP="009B3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C892BB0" wp14:editId="055DC3BA">
                  <wp:extent cx="1086197" cy="1240790"/>
                  <wp:effectExtent l="0" t="0" r="0" b="0"/>
                  <wp:docPr id="5" name="Picture 5" descr="https://upload.wikimedia.org/wikipedia/commons/3/32/Euphues_the_anatomy_of_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3/32/Euphues_the_anatomy_of_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23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B97" w:rsidRPr="00B20895" w:rsidTr="000E4567">
        <w:trPr>
          <w:trHeight w:val="405"/>
        </w:trPr>
        <w:tc>
          <w:tcPr>
            <w:tcW w:w="851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Titel: </w:t>
            </w:r>
            <w:r w:rsidRPr="00B20895">
              <w:rPr>
                <w:rFonts w:ascii="Arial" w:hAnsi="Arial" w:cs="Arial"/>
                <w:b/>
                <w:sz w:val="24"/>
                <w:szCs w:val="24"/>
              </w:rPr>
              <w:t>Intertekstualiteit</w:t>
            </w:r>
          </w:p>
        </w:tc>
        <w:tc>
          <w:tcPr>
            <w:tcW w:w="1843" w:type="dxa"/>
            <w:vMerge/>
          </w:tcPr>
          <w:p w:rsidR="003D5B97" w:rsidRPr="00B20895" w:rsidRDefault="003D5B97" w:rsidP="009B3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B97" w:rsidRPr="00B20895" w:rsidTr="000E4567">
        <w:trPr>
          <w:trHeight w:val="992"/>
        </w:trPr>
        <w:tc>
          <w:tcPr>
            <w:tcW w:w="851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b/>
                <w:sz w:val="24"/>
                <w:szCs w:val="24"/>
              </w:rPr>
              <w:t>Die titel:</w:t>
            </w:r>
            <w:r w:rsidRPr="00B20895">
              <w:rPr>
                <w:rFonts w:ascii="Arial" w:hAnsi="Arial" w:cs="Arial"/>
                <w:sz w:val="24"/>
                <w:szCs w:val="24"/>
              </w:rPr>
              <w:t xml:space="preserve"> verwys na ’n bekende Engelse idoom. Dit kom uit die Engelse digter John Lyly se gedig Euphues. Hierdie idoom regverdig kullery.</w:t>
            </w:r>
          </w:p>
        </w:tc>
        <w:tc>
          <w:tcPr>
            <w:tcW w:w="1843" w:type="dxa"/>
            <w:vMerge/>
          </w:tcPr>
          <w:p w:rsidR="003D5B97" w:rsidRPr="00B20895" w:rsidRDefault="003D5B97" w:rsidP="009B3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Waar het Edwill vir Helena vir die eerste keer gesien?</w:t>
            </w:r>
          </w:p>
        </w:tc>
        <w:tc>
          <w:tcPr>
            <w:tcW w:w="1843" w:type="dxa"/>
            <w:vMerge w:val="restart"/>
          </w:tcPr>
          <w:p w:rsidR="001839FC" w:rsidRPr="00B20895" w:rsidRDefault="001839FC" w:rsidP="0021552D">
            <w:pPr>
              <w:rPr>
                <w:noProof/>
                <w:sz w:val="24"/>
                <w:szCs w:val="24"/>
                <w:lang w:val="en-ZA" w:eastAsia="en-ZA"/>
              </w:rPr>
            </w:pPr>
          </w:p>
          <w:p w:rsidR="00517269" w:rsidRPr="00B20895" w:rsidRDefault="00517269" w:rsidP="0021552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792A604D" wp14:editId="69BD70D7">
                  <wp:extent cx="1257563" cy="2083723"/>
                  <wp:effectExtent l="0" t="0" r="0" b="0"/>
                  <wp:docPr id="3" name="Picture 3" descr="Image result for helena van tr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lena van tro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97" cy="213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By die skool.</w:t>
            </w:r>
          </w:p>
        </w:tc>
        <w:tc>
          <w:tcPr>
            <w:tcW w:w="1843" w:type="dxa"/>
            <w:vMerge/>
          </w:tcPr>
          <w:p w:rsidR="00517269" w:rsidRPr="00B20895" w:rsidRDefault="00517269" w:rsidP="00215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1839FC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1839FC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Watter effek het sy op hom gehad?</w:t>
            </w:r>
          </w:p>
        </w:tc>
        <w:tc>
          <w:tcPr>
            <w:tcW w:w="1843" w:type="dxa"/>
            <w:vMerge/>
          </w:tcPr>
          <w:p w:rsidR="001839FC" w:rsidRPr="00B20895" w:rsidRDefault="001839FC" w:rsidP="00215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1839FC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1839FC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Hy was onmiddelik verlief.</w:t>
            </w:r>
          </w:p>
        </w:tc>
        <w:tc>
          <w:tcPr>
            <w:tcW w:w="1843" w:type="dxa"/>
            <w:vMerge/>
          </w:tcPr>
          <w:p w:rsidR="001839FC" w:rsidRPr="00B20895" w:rsidRDefault="001839FC" w:rsidP="00215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Verduidelik wat met die volgende idoom bedoel word.</w:t>
            </w:r>
          </w:p>
        </w:tc>
        <w:tc>
          <w:tcPr>
            <w:tcW w:w="1843" w:type="dxa"/>
            <w:vMerge/>
          </w:tcPr>
          <w:p w:rsidR="00517269" w:rsidRPr="00B20895" w:rsidRDefault="00517269" w:rsidP="00215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“Jy’t nie ’n kat se kans nie.”</w:t>
            </w:r>
          </w:p>
        </w:tc>
        <w:tc>
          <w:tcPr>
            <w:tcW w:w="1843" w:type="dxa"/>
            <w:vMerge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nl-BE"/>
              </w:rPr>
              <w:t> </w:t>
            </w:r>
            <w:r w:rsidRPr="00B2089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nl-BE"/>
              </w:rPr>
              <w:t>Feitlik geen kans hê nie.</w:t>
            </w:r>
          </w:p>
        </w:tc>
        <w:tc>
          <w:tcPr>
            <w:tcW w:w="1843" w:type="dxa"/>
            <w:vMerge/>
          </w:tcPr>
          <w:p w:rsidR="00517269" w:rsidRPr="00B20895" w:rsidRDefault="00517269" w:rsidP="008A5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Waarom was Lita aanvanklik oortuig dat </w:t>
            </w:r>
            <w:r w:rsidR="001839FC" w:rsidRPr="00B20895">
              <w:rPr>
                <w:rFonts w:ascii="Arial" w:hAnsi="Arial" w:cs="Arial"/>
                <w:sz w:val="24"/>
                <w:szCs w:val="24"/>
              </w:rPr>
              <w:t>Edwill nie ’n kat se kans het nie.</w:t>
            </w:r>
          </w:p>
        </w:tc>
        <w:tc>
          <w:tcPr>
            <w:tcW w:w="1843" w:type="dxa"/>
            <w:vMerge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17269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Edwill was verlief op Waldemar se nooi.Waldemar was fris gebou en ’n goeie rugbyspeler. Edwill was moontlik ’n bleeksiel.</w:t>
            </w:r>
          </w:p>
        </w:tc>
        <w:tc>
          <w:tcPr>
            <w:tcW w:w="1843" w:type="dxa"/>
            <w:vMerge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FC" w:rsidRPr="00B20895" w:rsidTr="000E4567">
        <w:tc>
          <w:tcPr>
            <w:tcW w:w="851" w:type="dxa"/>
          </w:tcPr>
          <w:p w:rsidR="00517269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513" w:type="dxa"/>
          </w:tcPr>
          <w:p w:rsidR="00517269" w:rsidRPr="00B20895" w:rsidRDefault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Hoe weet ons dat hierdie verhaal ’n tiener liefdesverhaal is.</w:t>
            </w:r>
          </w:p>
        </w:tc>
        <w:tc>
          <w:tcPr>
            <w:tcW w:w="1843" w:type="dxa"/>
            <w:vMerge/>
          </w:tcPr>
          <w:p w:rsidR="00517269" w:rsidRPr="00B20895" w:rsidRDefault="0051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B97" w:rsidRPr="00B20895" w:rsidTr="000E4567">
        <w:tc>
          <w:tcPr>
            <w:tcW w:w="851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Die karakters is nog op skool.</w:t>
            </w:r>
          </w:p>
        </w:tc>
      </w:tr>
      <w:tr w:rsidR="003D5B97" w:rsidRPr="00B20895" w:rsidTr="000E4567">
        <w:tc>
          <w:tcPr>
            <w:tcW w:w="851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356" w:type="dxa"/>
            <w:gridSpan w:val="2"/>
          </w:tcPr>
          <w:p w:rsidR="003D5B97" w:rsidRPr="00B20895" w:rsidRDefault="003D5B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Het Edwill se verliefheid sy skoolwerk affekteer? Ja of Nee. Gee ’n rede vir jou antwoord.</w:t>
            </w:r>
          </w:p>
        </w:tc>
      </w:tr>
      <w:tr w:rsidR="003D5B97" w:rsidRPr="00B20895" w:rsidTr="000E4567">
        <w:tc>
          <w:tcPr>
            <w:tcW w:w="851" w:type="dxa"/>
          </w:tcPr>
          <w:p w:rsidR="003D5B97" w:rsidRPr="00B20895" w:rsidRDefault="003D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3D5B97" w:rsidRPr="00B20895" w:rsidRDefault="0083147C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Ja. </w:t>
            </w:r>
            <w:r w:rsidR="003D5B97" w:rsidRPr="00B20895">
              <w:rPr>
                <w:rFonts w:ascii="Arial" w:hAnsi="Arial" w:cs="Arial"/>
                <w:sz w:val="24"/>
                <w:szCs w:val="24"/>
              </w:rPr>
              <w:t xml:space="preserve">Hy het skielik van sy skoolvakke moeilik gevind. </w:t>
            </w:r>
            <w:r w:rsidRPr="00B20895">
              <w:rPr>
                <w:rFonts w:ascii="Arial" w:hAnsi="Arial" w:cs="Arial"/>
                <w:sz w:val="24"/>
                <w:szCs w:val="24"/>
              </w:rPr>
              <w:t xml:space="preserve">Dit het vir hom gevoel asof sy IK </w:t>
            </w:r>
            <w:r w:rsidR="003D5B97" w:rsidRPr="00B20895">
              <w:rPr>
                <w:rFonts w:ascii="Arial" w:hAnsi="Arial" w:cs="Arial"/>
                <w:sz w:val="24"/>
                <w:szCs w:val="24"/>
              </w:rPr>
              <w:t>gedaal</w:t>
            </w:r>
            <w:r w:rsidRPr="00B20895">
              <w:rPr>
                <w:rFonts w:ascii="Arial" w:hAnsi="Arial" w:cs="Arial"/>
                <w:sz w:val="24"/>
                <w:szCs w:val="24"/>
              </w:rPr>
              <w:t xml:space="preserve"> het</w:t>
            </w:r>
            <w:r w:rsidR="003D5B97" w:rsidRPr="00B208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Haal ’n reël aan wat sê dat sy verliefdheid sy gedagtes oorheers het. 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“Elke breinsel in sy kop het net Helena se naam geken.”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Helena se naam is ook ’n vorm van intertekstualiteit. Verduidelik.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Dit verwys na Helena van Troje. 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Watter ooreenkoms het hierdie verhaal met die Klassieke “Helen of Troje”?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Die verhaal bevat ook ’n liefdesdriehoek.</w:t>
            </w: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FD395B" w:rsidP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7513" w:type="dxa"/>
          </w:tcPr>
          <w:p w:rsidR="00561EB9" w:rsidRPr="00B20895" w:rsidRDefault="00FD395B" w:rsidP="00FD395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Edwill het Waldemar bevriend omdat hy hom wou uitoorlê sodat hy vir Helena kon afrokkel. Wat het Edwill met die Trojane in gemeen gehad?</w:t>
            </w:r>
          </w:p>
        </w:tc>
        <w:tc>
          <w:tcPr>
            <w:tcW w:w="1843" w:type="dxa"/>
            <w:vMerge w:val="restart"/>
          </w:tcPr>
          <w:p w:rsidR="0074534B" w:rsidRPr="00B20895" w:rsidRDefault="000E4567" w:rsidP="001839FC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239EE683" wp14:editId="21FDF37A">
                  <wp:extent cx="1256665" cy="980462"/>
                  <wp:effectExtent l="0" t="0" r="635" b="0"/>
                  <wp:docPr id="7" name="Picture 7" descr="The Trojan horse: What will make up cyber security trends in 2017?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Trojan horse: What will make up cyber security trends in 2017?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30" cy="9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4B" w:rsidRPr="00B20895" w:rsidRDefault="0074534B" w:rsidP="001839FC">
            <w:pPr>
              <w:rPr>
                <w:noProof/>
                <w:sz w:val="24"/>
                <w:szCs w:val="24"/>
                <w:lang w:val="en-ZA" w:eastAsia="en-ZA"/>
              </w:rPr>
            </w:pPr>
          </w:p>
          <w:p w:rsidR="0074534B" w:rsidRPr="00B20895" w:rsidRDefault="0074534B" w:rsidP="001839FC">
            <w:pPr>
              <w:rPr>
                <w:noProof/>
                <w:sz w:val="24"/>
                <w:szCs w:val="24"/>
                <w:lang w:val="en-ZA" w:eastAsia="en-ZA"/>
              </w:rPr>
            </w:pPr>
          </w:p>
          <w:p w:rsidR="0074534B" w:rsidRPr="00B20895" w:rsidRDefault="0074534B" w:rsidP="001839FC">
            <w:pPr>
              <w:rPr>
                <w:noProof/>
                <w:sz w:val="24"/>
                <w:szCs w:val="24"/>
                <w:lang w:val="en-ZA" w:eastAsia="en-ZA"/>
              </w:rPr>
            </w:pPr>
          </w:p>
          <w:p w:rsidR="00561EB9" w:rsidRPr="00B20895" w:rsidRDefault="00561EB9" w:rsidP="001839FC">
            <w:pPr>
              <w:rPr>
                <w:sz w:val="24"/>
                <w:szCs w:val="24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561EB9" w:rsidP="0018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1EB9" w:rsidRPr="00B20895" w:rsidRDefault="00C3664D" w:rsidP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Hy moes ’n stategie uitwerk om Helena syne te maak. </w:t>
            </w:r>
            <w:r w:rsidR="00FD395B" w:rsidRPr="00B20895">
              <w:rPr>
                <w:rFonts w:ascii="Arial" w:hAnsi="Arial" w:cs="Arial"/>
                <w:sz w:val="24"/>
                <w:szCs w:val="24"/>
              </w:rPr>
              <w:t>Hy sou voorgee dat hy en W</w:t>
            </w:r>
            <w:r w:rsidRPr="00B20895">
              <w:rPr>
                <w:rFonts w:ascii="Arial" w:hAnsi="Arial" w:cs="Arial"/>
                <w:sz w:val="24"/>
                <w:szCs w:val="24"/>
              </w:rPr>
              <w:t xml:space="preserve">aldemar vriende is sodat hy ’n kans kon kry om vir </w:t>
            </w:r>
            <w:r w:rsidR="00FD395B" w:rsidRPr="00B20895">
              <w:rPr>
                <w:rFonts w:ascii="Arial" w:hAnsi="Arial" w:cs="Arial"/>
                <w:sz w:val="24"/>
                <w:szCs w:val="24"/>
              </w:rPr>
              <w:t>Helena van hom af te rokkel.</w:t>
            </w:r>
          </w:p>
        </w:tc>
        <w:tc>
          <w:tcPr>
            <w:tcW w:w="1843" w:type="dxa"/>
            <w:vMerge/>
          </w:tcPr>
          <w:p w:rsidR="00561EB9" w:rsidRPr="00B20895" w:rsidRDefault="00561EB9" w:rsidP="001839FC">
            <w:pPr>
              <w:rPr>
                <w:sz w:val="24"/>
                <w:szCs w:val="24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FD395B" w:rsidP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7513" w:type="dxa"/>
          </w:tcPr>
          <w:p w:rsidR="00561EB9" w:rsidRPr="00B20895" w:rsidRDefault="00FD395B" w:rsidP="001839F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Hoe weet jy dat Edwill se plan om Waldemar te bevriend ’n blink plan was?</w:t>
            </w:r>
          </w:p>
        </w:tc>
        <w:tc>
          <w:tcPr>
            <w:tcW w:w="1843" w:type="dxa"/>
            <w:vMerge/>
          </w:tcPr>
          <w:p w:rsidR="00561EB9" w:rsidRPr="00B20895" w:rsidRDefault="00561EB9" w:rsidP="001839FC">
            <w:pPr>
              <w:rPr>
                <w:sz w:val="24"/>
                <w:szCs w:val="24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561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1EB9" w:rsidRPr="00B20895" w:rsidRDefault="00FD395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Hy kry nou ’n kans om b</w:t>
            </w:r>
            <w:r w:rsidR="00C3664D" w:rsidRPr="00B20895">
              <w:rPr>
                <w:rFonts w:ascii="Arial" w:hAnsi="Arial" w:cs="Arial"/>
                <w:sz w:val="24"/>
                <w:szCs w:val="24"/>
              </w:rPr>
              <w:t>y Helena-hulle se huis te kuier en om haar beter te leer ken.</w:t>
            </w:r>
          </w:p>
        </w:tc>
        <w:tc>
          <w:tcPr>
            <w:tcW w:w="1843" w:type="dxa"/>
            <w:vMerge/>
          </w:tcPr>
          <w:p w:rsidR="00561EB9" w:rsidRPr="00B20895" w:rsidRDefault="00561EB9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7513" w:type="dxa"/>
          </w:tcPr>
          <w:p w:rsidR="00561EB9" w:rsidRPr="00B20895" w:rsidRDefault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Waarom moes Edwill aan Lita verslag lewe oor die gebeure by Helena-hulle se huis.</w:t>
            </w:r>
          </w:p>
        </w:tc>
        <w:tc>
          <w:tcPr>
            <w:tcW w:w="1843" w:type="dxa"/>
            <w:vMerge/>
          </w:tcPr>
          <w:p w:rsidR="00561EB9" w:rsidRPr="00B20895" w:rsidRDefault="00561EB9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561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1EB9" w:rsidRPr="00B20895" w:rsidRDefault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Sy wou hom help om ’n strategie te ontwikkel wat hom ’n goeie kans sou gee om Helena van Waldemar af te rokkel.</w:t>
            </w:r>
          </w:p>
        </w:tc>
        <w:tc>
          <w:tcPr>
            <w:tcW w:w="1843" w:type="dxa"/>
            <w:vMerge/>
          </w:tcPr>
          <w:p w:rsidR="00561EB9" w:rsidRPr="00B20895" w:rsidRDefault="00561EB9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7513" w:type="dxa"/>
          </w:tcPr>
          <w:p w:rsidR="00561EB9" w:rsidRPr="00B20895" w:rsidRDefault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Beskryf Helena se ma in EEN woord.</w:t>
            </w:r>
          </w:p>
        </w:tc>
        <w:tc>
          <w:tcPr>
            <w:tcW w:w="1843" w:type="dxa"/>
            <w:vMerge/>
          </w:tcPr>
          <w:p w:rsidR="00561EB9" w:rsidRPr="00B20895" w:rsidRDefault="00561EB9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561EB9" w:rsidRPr="00B20895" w:rsidTr="000E4567">
        <w:tc>
          <w:tcPr>
            <w:tcW w:w="851" w:type="dxa"/>
          </w:tcPr>
          <w:p w:rsidR="00561EB9" w:rsidRPr="00B20895" w:rsidRDefault="00561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1EB9" w:rsidRPr="00B20895" w:rsidRDefault="00C3664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gaaf</w:t>
            </w:r>
          </w:p>
        </w:tc>
        <w:tc>
          <w:tcPr>
            <w:tcW w:w="1843" w:type="dxa"/>
            <w:vMerge/>
          </w:tcPr>
          <w:p w:rsidR="00561EB9" w:rsidRPr="00B20895" w:rsidRDefault="00561EB9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Was Helena die enigste kind in haar gesin?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Nee. Sy het twee broers.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Waarom was dit vir Lita belangrik om te weet of Helena en Waldemar al vry?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Dit sou ’n aanduiding wees of hulle verhouding platonies of ernstig was.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Verduidelik wat die volgende uitdrukking beteken.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“Ons het die Archilleshiel in hulle verhouding.”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Ons het hulle swakplek.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Wat,volgens  Dr. Phil, is belangrik in ’n verhouding?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Kommunikasie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Sou jy sê dat Waldemar onromanties is?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Ja, hy praat heeltyd net oor rugby. Hy is selfbeheb.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Watter aanduiding is daar dat Waltemar dalk stereotipies is?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Hy dink ’n vrou se plek is in die kombuis. Hy help nooit vir Helena met die skottelgoed opwas nie.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Wat sou vir Edwill help om in ’n romantiese karakter te verander?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Hy moes romantiese gedigte leer en dit kon resiteer/woord vir woord opsê. Hy sou hierdie gedigte in die biblioteek kry.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 xml:space="preserve">Waarom het Edwill voorgestel om Helena se boeties buite dop te hou. 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Hy wou haar guns wen.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Van watter taalgebruik maak Lita gebruik? Noem ’n paar voorbeelde.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Tienertaal “Waldemar se girl”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“ Haar aanraking laat hom voel asof hy rillend van vreugde tot sterwe kom. Of te lewe.”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Haal TWEE aparte woorde uit b</w:t>
            </w:r>
            <w:r w:rsidR="00392F46" w:rsidRPr="00B20895">
              <w:rPr>
                <w:rFonts w:ascii="Arial" w:hAnsi="Arial" w:cs="Arial"/>
                <w:sz w:val="24"/>
                <w:szCs w:val="24"/>
              </w:rPr>
              <w:t>ostaande aanhaling wat op antitese/kontras/teenstelling</w:t>
            </w:r>
            <w:r w:rsidRPr="00B20895">
              <w:rPr>
                <w:rFonts w:ascii="Arial" w:hAnsi="Arial" w:cs="Arial"/>
                <w:sz w:val="24"/>
                <w:szCs w:val="24"/>
              </w:rPr>
              <w:t xml:space="preserve"> dui.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“sterwe” en “ lewe”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Wat erken Edwill aan Helena oor sy gevoelens teenoor haar?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Hy hou vreeslik baie van haar.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Uit watter teks (gedig) kom Edwill se woorde?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ZA" w:eastAsia="en-ZA"/>
              </w:rPr>
              <w:t>’n Gedig deur Theunis Engelbrecht.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Dink jy dat Lita se advies/raad van enige nut vir Edwill was?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74534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Ja, Helena soen hom.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9356" w:type="dxa"/>
            <w:gridSpan w:val="2"/>
          </w:tcPr>
          <w:p w:rsidR="0074534B" w:rsidRPr="00B20895" w:rsidRDefault="00D4382C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Wat is ’n minnelied?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D4382C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’n Liefdeslied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D4382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9356" w:type="dxa"/>
            <w:gridSpan w:val="2"/>
          </w:tcPr>
          <w:p w:rsidR="0074534B" w:rsidRPr="00B20895" w:rsidRDefault="00D4382C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As jy W</w:t>
            </w:r>
            <w:r w:rsidR="00B577DB"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 xml:space="preserve">aldemar was, sou jy omgee </w:t>
            </w: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dat jou meisie iemand anders soen?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Ja</w:t>
            </w:r>
            <w:r w:rsidR="00D4382C"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, ek</w:t>
            </w: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 xml:space="preserve"> sou jaloers word. Nee</w:t>
            </w:r>
            <w:r w:rsidR="00D4382C"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. Ek vertrou my meisie.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D4382C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9356" w:type="dxa"/>
            <w:gridSpan w:val="2"/>
          </w:tcPr>
          <w:p w:rsidR="0074534B" w:rsidRPr="00B20895" w:rsidRDefault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Edwill weet hy het die stad met die hulp van Waldemar (en ’n klomp digters) ingeneem.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Waarna verwys die “stad” konnotatief?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B57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B577DB" w:rsidRPr="00B20895" w:rsidRDefault="00B577DB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 xml:space="preserve">Helena se hart. 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EA5E26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9356" w:type="dxa"/>
            <w:gridSpan w:val="2"/>
          </w:tcPr>
          <w:p w:rsidR="0074534B" w:rsidRPr="00B20895" w:rsidRDefault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“</w:t>
            </w:r>
            <w:r w:rsidR="00855E9E"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 xml:space="preserve">In die openbaar en in hulle </w:t>
            </w:r>
            <w:r w:rsidR="0090628D"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sitkamer is sy Waldemar s’n, maar in die gange sýne.”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Na watter gange verwys die volgende woorde?</w:t>
            </w:r>
          </w:p>
        </w:tc>
      </w:tr>
      <w:tr w:rsidR="0090628D" w:rsidRPr="00B20895" w:rsidTr="000E4567">
        <w:tc>
          <w:tcPr>
            <w:tcW w:w="851" w:type="dxa"/>
          </w:tcPr>
          <w:p w:rsidR="0090628D" w:rsidRPr="00B20895" w:rsidRDefault="00906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90628D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Skoolgange.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EA5E26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Waarom word daar na die doodskoot as ’n “genadeslag” verwys?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Die slagoffer sterf onmiddelik en daar is dan geen lyding nie./Pynlose sterfte.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EA5E26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Waarmee word die gedig wat Edwill moes skryf vergelyk?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Kupido se pyl.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90628D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Hoe regverdig Edwill die misbruik van Waldemar se vriendskap?</w:t>
            </w:r>
          </w:p>
        </w:tc>
      </w:tr>
      <w:tr w:rsidR="0074534B" w:rsidRPr="00B20895" w:rsidTr="000E4567">
        <w:tc>
          <w:tcPr>
            <w:tcW w:w="851" w:type="dxa"/>
          </w:tcPr>
          <w:p w:rsidR="0074534B" w:rsidRPr="00B20895" w:rsidRDefault="0074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4534B" w:rsidRPr="00B20895" w:rsidRDefault="0090628D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“All is fair in love and war.”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90628D" w:rsidP="00B577D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9356" w:type="dxa"/>
            <w:gridSpan w:val="2"/>
          </w:tcPr>
          <w:p w:rsidR="00B577DB" w:rsidRPr="00B20895" w:rsidRDefault="00B577DB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Wat was die titel van Edwill se gedig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B577DB" w:rsidP="00B57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B577DB" w:rsidRPr="00B20895" w:rsidRDefault="00B577DB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Uiteindelik net ek en jy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416BC1" w:rsidP="00B577D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9356" w:type="dxa"/>
            <w:gridSpan w:val="2"/>
          </w:tcPr>
          <w:p w:rsidR="00B577DB" w:rsidRPr="00B20895" w:rsidRDefault="00B577DB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Hoe dui die gedig se titel op progressie?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B577DB" w:rsidP="00B57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B577DB" w:rsidRPr="00B20895" w:rsidRDefault="00B577DB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Waldemar is nou uit die prentjie. Hy is nie meer deel van die liefdesverhaal nie.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416BC1" w:rsidP="00B577D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9356" w:type="dxa"/>
            <w:gridSpan w:val="2"/>
          </w:tcPr>
          <w:p w:rsidR="00B577DB" w:rsidRPr="00B20895" w:rsidRDefault="00B577DB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Was Edwill se “khoe de graas” suksesvol?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B577DB" w:rsidP="00B57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B577DB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Nee, Wald</w:t>
            </w:r>
            <w:r w:rsidR="00B577DB"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 xml:space="preserve">emar het sy gedig </w:t>
            </w: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om Helena se hart te verower. Edwill verloor dus die stryd.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416BC1" w:rsidP="00B577D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9356" w:type="dxa"/>
            <w:gridSpan w:val="2"/>
          </w:tcPr>
          <w:p w:rsidR="00B577DB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Voltooi: Wanneer jy die aftog blaas beteken dit jy het…...</w:t>
            </w:r>
          </w:p>
          <w:p w:rsidR="00416BC1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Edwill kan beskryf word as ’n……..held, soos in ’n Griekse ……..</w:t>
            </w:r>
          </w:p>
        </w:tc>
      </w:tr>
      <w:tr w:rsidR="00416BC1" w:rsidRPr="00B20895" w:rsidTr="000E4567">
        <w:tc>
          <w:tcPr>
            <w:tcW w:w="851" w:type="dxa"/>
          </w:tcPr>
          <w:p w:rsidR="00416BC1" w:rsidRPr="00B20895" w:rsidRDefault="00416BC1" w:rsidP="00B57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416BC1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Verloor</w:t>
            </w:r>
          </w:p>
          <w:p w:rsidR="00416BC1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Tragiese</w:t>
            </w:r>
          </w:p>
          <w:p w:rsidR="00416BC1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tragedie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416BC1" w:rsidP="00B577DB">
            <w:pPr>
              <w:rPr>
                <w:rFonts w:ascii="Arial" w:hAnsi="Arial" w:cs="Arial"/>
                <w:sz w:val="24"/>
                <w:szCs w:val="24"/>
              </w:rPr>
            </w:pPr>
            <w:r w:rsidRPr="00B20895">
              <w:rPr>
                <w:rFonts w:ascii="Arial" w:hAnsi="Arial" w:cs="Arial"/>
                <w:sz w:val="24"/>
                <w:szCs w:val="24"/>
              </w:rPr>
              <w:t>1.40</w:t>
            </w:r>
          </w:p>
        </w:tc>
        <w:tc>
          <w:tcPr>
            <w:tcW w:w="9356" w:type="dxa"/>
            <w:gridSpan w:val="2"/>
          </w:tcPr>
          <w:p w:rsidR="00B577DB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Wie is eintlik die ware Trojaan, volgens die slot van die verhaal?</w:t>
            </w:r>
          </w:p>
        </w:tc>
      </w:tr>
      <w:tr w:rsidR="00B577DB" w:rsidRPr="00B20895" w:rsidTr="000E4567">
        <w:tc>
          <w:tcPr>
            <w:tcW w:w="851" w:type="dxa"/>
          </w:tcPr>
          <w:p w:rsidR="00B577DB" w:rsidRPr="00B20895" w:rsidRDefault="00B577DB" w:rsidP="00B57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B577DB" w:rsidRPr="00B20895" w:rsidRDefault="00416BC1" w:rsidP="00B577DB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B2089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Waldemar</w:t>
            </w:r>
          </w:p>
        </w:tc>
      </w:tr>
    </w:tbl>
    <w:p w:rsidR="00D26BF6" w:rsidRPr="00416BC1" w:rsidRDefault="00D26BF6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Pr="00416BC1" w:rsidRDefault="0081374C">
      <w:pPr>
        <w:rPr>
          <w:sz w:val="24"/>
        </w:rPr>
      </w:pPr>
    </w:p>
    <w:p w:rsidR="0081374C" w:rsidRDefault="0081374C"/>
    <w:p w:rsidR="0081374C" w:rsidRDefault="0081374C"/>
    <w:p w:rsidR="0081374C" w:rsidRDefault="0081374C"/>
    <w:p w:rsidR="0081374C" w:rsidRDefault="0081374C"/>
    <w:p w:rsidR="0081374C" w:rsidRDefault="0081374C"/>
    <w:p w:rsidR="0081374C" w:rsidRDefault="0081374C"/>
    <w:p w:rsidR="0081374C" w:rsidRDefault="0081374C"/>
    <w:p w:rsidR="0081374C" w:rsidRDefault="0081374C"/>
    <w:tbl>
      <w:tblPr>
        <w:tblStyle w:val="TableGrid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04"/>
        <w:gridCol w:w="2287"/>
      </w:tblGrid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1C1">
              <w:rPr>
                <w:rFonts w:ascii="Arial" w:hAnsi="Arial" w:cs="Arial"/>
                <w:b/>
                <w:sz w:val="24"/>
                <w:szCs w:val="24"/>
              </w:rPr>
              <w:t>All is fair in love and war                              Jan van Tonder</w:t>
            </w:r>
          </w:p>
        </w:tc>
        <w:tc>
          <w:tcPr>
            <w:tcW w:w="2287" w:type="dxa"/>
            <w:vMerge w:val="restart"/>
          </w:tcPr>
          <w:p w:rsidR="005401C1" w:rsidRPr="005401C1" w:rsidRDefault="005401C1" w:rsidP="00D9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5FBD1DD0" wp14:editId="752DAE78">
                  <wp:extent cx="1086197" cy="1240790"/>
                  <wp:effectExtent l="0" t="0" r="0" b="0"/>
                  <wp:docPr id="1" name="Picture 1" descr="https://upload.wikimedia.org/wikipedia/commons/3/32/Euphues_the_anatomy_of_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3/32/Euphues_the_anatomy_of_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23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1C1" w:rsidRPr="005401C1" w:rsidTr="005401C1">
        <w:trPr>
          <w:trHeight w:val="405"/>
        </w:trPr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 xml:space="preserve">Titel: </w:t>
            </w:r>
            <w:r w:rsidRPr="005401C1">
              <w:rPr>
                <w:rFonts w:ascii="Arial" w:hAnsi="Arial" w:cs="Arial"/>
                <w:b/>
                <w:sz w:val="24"/>
                <w:szCs w:val="24"/>
              </w:rPr>
              <w:t>Intertekstualiteit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rPr>
          <w:trHeight w:val="992"/>
        </w:trPr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b/>
                <w:sz w:val="24"/>
                <w:szCs w:val="24"/>
              </w:rPr>
              <w:t>Die titel:</w:t>
            </w:r>
            <w:r w:rsidRPr="005401C1">
              <w:rPr>
                <w:rFonts w:ascii="Arial" w:hAnsi="Arial" w:cs="Arial"/>
                <w:sz w:val="24"/>
                <w:szCs w:val="24"/>
              </w:rPr>
              <w:t xml:space="preserve"> verwys na ’n bekende Engelse idoom. Dit kom uit die Engelse digter John Lyly se gedig Euphues. Hierdie idoom regverdig kullery.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Waar het Edwill vir Helena vir die eerste keer gesien?</w:t>
            </w:r>
          </w:p>
        </w:tc>
        <w:tc>
          <w:tcPr>
            <w:tcW w:w="2287" w:type="dxa"/>
            <w:vMerge w:val="restart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EC574AC" wp14:editId="4819932C">
                  <wp:extent cx="835025" cy="1599598"/>
                  <wp:effectExtent l="0" t="0" r="3175" b="635"/>
                  <wp:docPr id="4" name="Picture 4" descr="Image result for helena van tr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lena van tro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166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Watter effek het sy op hom gehad?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Verduidelik wat met die volgende idoom bedoel word.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“Jy’t nie ’n kat se kans nie.”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Waarom was Lita aanvanklik oortuig dat Edwill nie ’n kat se kans het nie.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Hoe weet ons dat hierdie verhaal ’n tiener liefdesverhaal is.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Het Edwill se verliefheid sy skoolwerk affekteer? Ja of Nee. Gee ’n rede vir jou antwoord.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 xml:space="preserve">Haal ’n reël aan wat sê dat sy verliefdheid sy gedagtes oorheers het. 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Helena se naam is ook ’n vorm van intertekstualiteit. Verduidelik.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Watter ooreenkoms het hierdie verhaal met die Klassieke “Helen of Troje”?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Edwill het Waldemar bevriend omdat hy hom wou uitoorlê sodat hy vir Helena kon afrokkel. Wat het Edwill met die Trojane in gemeen gehad?</w:t>
            </w:r>
          </w:p>
        </w:tc>
        <w:tc>
          <w:tcPr>
            <w:tcW w:w="2287" w:type="dxa"/>
            <w:vMerge w:val="restart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</w:p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2155CD1F" wp14:editId="73AADFAC">
                  <wp:extent cx="1256665" cy="980462"/>
                  <wp:effectExtent l="0" t="0" r="635" b="0"/>
                  <wp:docPr id="6" name="Picture 6" descr="The Trojan horse: What will make up cyber security trends in 2017?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Trojan horse: What will make up cyber security trends in 2017?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30" cy="9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Hoe weet jy dat Edwill se plan om Waldemar te bevriend ’n blink plan was?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sz w:val="24"/>
                <w:szCs w:val="24"/>
              </w:rPr>
            </w:pPr>
          </w:p>
        </w:tc>
      </w:tr>
      <w:tr w:rsidR="005401C1" w:rsidRPr="005401C1" w:rsidTr="005401C1">
        <w:trPr>
          <w:trHeight w:val="515"/>
        </w:trPr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Waarom moes Edwill aan Lita verslag lewe oor die gebeure by Helena-hulle se huis.</w:t>
            </w:r>
          </w:p>
        </w:tc>
        <w:tc>
          <w:tcPr>
            <w:tcW w:w="2287" w:type="dxa"/>
            <w:vMerge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04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Beskryf Helena se ma in EEN woord.</w:t>
            </w:r>
          </w:p>
        </w:tc>
        <w:tc>
          <w:tcPr>
            <w:tcW w:w="2287" w:type="dxa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Was Helena die enigste kind in haar gesin?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Waarom was dit vir Lita belangrik om te weet of Helena en Waldemar al vry?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Verduidelik wat die volgende uitdrukking beteken.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“Ons het die Archilleshiel in hulle verhouding.”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Wat,volgens  Dr. Phil, is belangrik in ’n verhouding?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Sou jy sê dat Waldemar onromanties is?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Watter aanduiding is daar dat Waltemar dalk stereotipies is?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Wat sou vir Edwill help om in ’n romantiese karakter te verander?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 xml:space="preserve">Waarom het Edwill voorgestel om Helena se boeties buite dop te hou. 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Van watter taalgebruik maak Lita gebruik? Noem ’n paar voorbeelde.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291" w:type="dxa"/>
            <w:gridSpan w:val="2"/>
          </w:tcPr>
          <w:p w:rsidR="005401C1" w:rsidRPr="005401C1" w:rsidRDefault="00B20895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bookmarkStart w:id="0" w:name="_GoBack"/>
            <w:bookmarkEnd w:id="0"/>
            <w:r w:rsidR="005401C1" w:rsidRPr="005401C1">
              <w:rPr>
                <w:rFonts w:ascii="Arial" w:hAnsi="Arial" w:cs="Arial"/>
                <w:sz w:val="24"/>
                <w:szCs w:val="24"/>
              </w:rPr>
              <w:t>Haar aanraking laat hom voel asof hy rillend van vreugde tot sterwe kom. Of te lewe.”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Haal TWEE aparte woorde uit bostaande aanhaling wat op ironie dui.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8F631A" w:rsidP="00D93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sz w:val="24"/>
                <w:szCs w:val="24"/>
              </w:rPr>
              <w:t>Wat erken Edwill aan Helena oor sy gevoelens teenoor haar?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8F631A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26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Uit watter teks (gedig) kom Edwill se woorde?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28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Dink jy dat Lita se advies/raad van enige nut vir Edwill was?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29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Wat is ’n minnelied?</w:t>
            </w:r>
          </w:p>
        </w:tc>
      </w:tr>
      <w:tr w:rsidR="005401C1" w:rsidRPr="005401C1" w:rsidTr="005401C1">
        <w:tc>
          <w:tcPr>
            <w:tcW w:w="567" w:type="dxa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30</w:t>
            </w:r>
          </w:p>
        </w:tc>
        <w:tc>
          <w:tcPr>
            <w:tcW w:w="9291" w:type="dxa"/>
            <w:gridSpan w:val="2"/>
          </w:tcPr>
          <w:p w:rsidR="005401C1" w:rsidRPr="005401C1" w:rsidRDefault="005401C1" w:rsidP="00D93897">
            <w:pP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 w:rsidRPr="005401C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>As jy Waldemar was, sou jy daarvan hou dat jou meisie iemand anders soen?</w:t>
            </w:r>
          </w:p>
        </w:tc>
      </w:tr>
    </w:tbl>
    <w:p w:rsidR="0081374C" w:rsidRPr="005401C1" w:rsidRDefault="0081374C">
      <w:pPr>
        <w:rPr>
          <w:sz w:val="24"/>
          <w:szCs w:val="24"/>
        </w:rPr>
      </w:pPr>
    </w:p>
    <w:sectPr w:rsidR="0081374C" w:rsidRPr="005401C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F9" w:rsidRDefault="00DC41F9" w:rsidP="00C3664D">
      <w:pPr>
        <w:spacing w:after="0" w:line="240" w:lineRule="auto"/>
      </w:pPr>
      <w:r>
        <w:separator/>
      </w:r>
    </w:p>
  </w:endnote>
  <w:endnote w:type="continuationSeparator" w:id="0">
    <w:p w:rsidR="00DC41F9" w:rsidRDefault="00DC41F9" w:rsidP="00C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69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64D" w:rsidRDefault="00C36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64D" w:rsidRDefault="00C36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F9" w:rsidRDefault="00DC41F9" w:rsidP="00C3664D">
      <w:pPr>
        <w:spacing w:after="0" w:line="240" w:lineRule="auto"/>
      </w:pPr>
      <w:r>
        <w:separator/>
      </w:r>
    </w:p>
  </w:footnote>
  <w:footnote w:type="continuationSeparator" w:id="0">
    <w:p w:rsidR="00DC41F9" w:rsidRDefault="00DC41F9" w:rsidP="00C3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2"/>
    <w:rsid w:val="00096CA8"/>
    <w:rsid w:val="000E4567"/>
    <w:rsid w:val="001839FC"/>
    <w:rsid w:val="001E1CB7"/>
    <w:rsid w:val="00392F46"/>
    <w:rsid w:val="003D5B97"/>
    <w:rsid w:val="00416BC1"/>
    <w:rsid w:val="00517269"/>
    <w:rsid w:val="005401C1"/>
    <w:rsid w:val="00561EB9"/>
    <w:rsid w:val="006579A7"/>
    <w:rsid w:val="0074534B"/>
    <w:rsid w:val="007B34AF"/>
    <w:rsid w:val="0081374C"/>
    <w:rsid w:val="0083147C"/>
    <w:rsid w:val="00855E9E"/>
    <w:rsid w:val="008F631A"/>
    <w:rsid w:val="0090628D"/>
    <w:rsid w:val="009B34F2"/>
    <w:rsid w:val="00B20895"/>
    <w:rsid w:val="00B577DB"/>
    <w:rsid w:val="00C3664D"/>
    <w:rsid w:val="00C65E36"/>
    <w:rsid w:val="00C71FC4"/>
    <w:rsid w:val="00D26BF6"/>
    <w:rsid w:val="00D32C05"/>
    <w:rsid w:val="00D4382C"/>
    <w:rsid w:val="00D82075"/>
    <w:rsid w:val="00DC41F9"/>
    <w:rsid w:val="00EA5E26"/>
    <w:rsid w:val="00EB161A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4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C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4D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C1"/>
    <w:rPr>
      <w:rFonts w:ascii="Segoe U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4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C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4D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C1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2840-D9A4-41B0-91EB-8D0FCED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cdmentoor@yahoo.com</dc:creator>
  <cp:lastModifiedBy>Hubert Krynauw</cp:lastModifiedBy>
  <cp:revision>2</cp:revision>
  <cp:lastPrinted>2018-03-23T06:56:00Z</cp:lastPrinted>
  <dcterms:created xsi:type="dcterms:W3CDTF">2018-04-14T06:23:00Z</dcterms:created>
  <dcterms:modified xsi:type="dcterms:W3CDTF">2018-04-14T06:23:00Z</dcterms:modified>
</cp:coreProperties>
</file>